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F0" w:rsidRDefault="005B6DF0" w:rsidP="005B6DF0">
      <w:pPr>
        <w:jc w:val="center"/>
        <w:rPr>
          <w:rFonts w:ascii="Tahoma" w:hAnsi="Tahoma" w:cs="Tahoma"/>
          <w:b/>
          <w:bCs/>
          <w:sz w:val="28"/>
          <w:szCs w:val="28"/>
        </w:rPr>
      </w:pPr>
    </w:p>
    <w:p w:rsidR="005B6DF0" w:rsidRDefault="005B6DF0" w:rsidP="005B6DF0">
      <w:pPr>
        <w:jc w:val="center"/>
        <w:rPr>
          <w:rFonts w:ascii="Tahoma" w:hAnsi="Tahoma" w:cs="Tahoma"/>
          <w:b/>
          <w:bCs/>
          <w:color w:val="FF0000"/>
          <w:sz w:val="28"/>
          <w:szCs w:val="28"/>
        </w:rPr>
      </w:pPr>
      <w:r>
        <w:rPr>
          <w:rFonts w:ascii="Tahoma" w:hAnsi="Tahoma" w:cs="Tahoma"/>
          <w:b/>
          <w:bCs/>
          <w:sz w:val="28"/>
          <w:szCs w:val="28"/>
        </w:rPr>
        <w:t>Accreditation Education Research and Scientific Services Center</w:t>
      </w:r>
    </w:p>
    <w:p w:rsidR="005B6DF0" w:rsidRDefault="005B6DF0" w:rsidP="005B6DF0">
      <w:pPr>
        <w:jc w:val="center"/>
        <w:rPr>
          <w:rFonts w:ascii="Tahoma" w:hAnsi="Tahoma" w:cs="Tahoma"/>
          <w:sz w:val="28"/>
          <w:szCs w:val="28"/>
        </w:rPr>
      </w:pPr>
      <w:r>
        <w:rPr>
          <w:rFonts w:ascii="Tahoma" w:hAnsi="Tahoma" w:cs="Tahoma"/>
          <w:sz w:val="28"/>
          <w:szCs w:val="28"/>
        </w:rPr>
        <w:t>List of Documents and Records</w:t>
      </w:r>
      <w:r w:rsidR="00513C06">
        <w:rPr>
          <w:rFonts w:ascii="Tahoma" w:hAnsi="Tahoma" w:cs="Tahoma"/>
          <w:sz w:val="28"/>
          <w:szCs w:val="28"/>
        </w:rPr>
        <w:t xml:space="preserve"> to be submitted with Application </w:t>
      </w:r>
    </w:p>
    <w:p w:rsidR="005B6DF0" w:rsidRDefault="005B6DF0" w:rsidP="005B6DF0">
      <w:pPr>
        <w:rPr>
          <w:rFonts w:ascii="Tahoma" w:hAnsi="Tahoma" w:cs="Tahoma"/>
          <w:sz w:val="28"/>
          <w:szCs w:val="28"/>
        </w:rPr>
      </w:pPr>
      <w:r>
        <w:rPr>
          <w:rFonts w:ascii="Tahoma" w:hAnsi="Tahoma" w:cs="Tahoma"/>
          <w:sz w:val="28"/>
          <w:szCs w:val="28"/>
        </w:rPr>
        <w:t>Documents</w:t>
      </w:r>
    </w:p>
    <w:p w:rsidR="005B6DF0" w:rsidRDefault="005B6DF0" w:rsidP="005B6DF0">
      <w:pPr>
        <w:pStyle w:val="ListParagraph"/>
        <w:numPr>
          <w:ilvl w:val="0"/>
          <w:numId w:val="1"/>
        </w:numPr>
        <w:rPr>
          <w:rFonts w:ascii="Tahoma" w:hAnsi="Tahoma" w:cs="Tahoma"/>
          <w:sz w:val="28"/>
          <w:szCs w:val="28"/>
        </w:rPr>
      </w:pPr>
      <w:r>
        <w:rPr>
          <w:rFonts w:ascii="Tahoma" w:hAnsi="Tahoma" w:cs="Tahoma"/>
          <w:sz w:val="28"/>
          <w:szCs w:val="28"/>
        </w:rPr>
        <w:t>Quality Manual</w:t>
      </w:r>
    </w:p>
    <w:p w:rsidR="005B6DF0" w:rsidRDefault="005B6DF0" w:rsidP="005B6DF0">
      <w:pPr>
        <w:pStyle w:val="ListParagraph"/>
        <w:numPr>
          <w:ilvl w:val="0"/>
          <w:numId w:val="1"/>
        </w:numPr>
        <w:rPr>
          <w:rFonts w:ascii="Tahoma" w:hAnsi="Tahoma" w:cs="Tahoma"/>
          <w:sz w:val="28"/>
          <w:szCs w:val="28"/>
        </w:rPr>
      </w:pPr>
      <w:r>
        <w:rPr>
          <w:rFonts w:ascii="Tahoma" w:hAnsi="Tahoma" w:cs="Tahoma"/>
          <w:sz w:val="28"/>
          <w:szCs w:val="28"/>
        </w:rPr>
        <w:t>Quality System Procedures</w:t>
      </w:r>
    </w:p>
    <w:p w:rsidR="005B6DF0" w:rsidRDefault="005B6DF0" w:rsidP="005B6DF0">
      <w:pPr>
        <w:pStyle w:val="ListParagraph"/>
        <w:numPr>
          <w:ilvl w:val="0"/>
          <w:numId w:val="1"/>
        </w:numPr>
        <w:rPr>
          <w:rFonts w:ascii="Tahoma" w:hAnsi="Tahoma" w:cs="Tahoma"/>
          <w:sz w:val="28"/>
          <w:szCs w:val="28"/>
        </w:rPr>
      </w:pPr>
      <w:r>
        <w:rPr>
          <w:rFonts w:ascii="Tahoma" w:hAnsi="Tahoma" w:cs="Tahoma"/>
          <w:sz w:val="28"/>
          <w:szCs w:val="28"/>
        </w:rPr>
        <w:t>SOPs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(Forms, reports, logbooks)</w:t>
      </w:r>
    </w:p>
    <w:p w:rsidR="005B6DF0" w:rsidRDefault="005B6DF0" w:rsidP="005B6DF0">
      <w:pPr>
        <w:pStyle w:val="ListParagraph"/>
        <w:numPr>
          <w:ilvl w:val="0"/>
          <w:numId w:val="1"/>
        </w:numPr>
        <w:rPr>
          <w:rFonts w:ascii="Tahoma" w:hAnsi="Tahoma" w:cs="Tahoma"/>
          <w:sz w:val="28"/>
          <w:szCs w:val="28"/>
        </w:rPr>
      </w:pPr>
      <w:r>
        <w:rPr>
          <w:rFonts w:ascii="Tahoma" w:hAnsi="Tahoma" w:cs="Tahoma"/>
          <w:sz w:val="28"/>
          <w:szCs w:val="28"/>
        </w:rPr>
        <w:t>Work Instructions</w:t>
      </w:r>
    </w:p>
    <w:p w:rsidR="005B6DF0" w:rsidRPr="00513C06" w:rsidRDefault="005B6DF0" w:rsidP="00513C06">
      <w:pPr>
        <w:pStyle w:val="ListParagraph"/>
        <w:numPr>
          <w:ilvl w:val="0"/>
          <w:numId w:val="1"/>
        </w:numPr>
        <w:rPr>
          <w:rFonts w:ascii="Tahoma" w:hAnsi="Tahoma" w:cs="Tahoma"/>
          <w:sz w:val="28"/>
          <w:szCs w:val="28"/>
        </w:rPr>
      </w:pPr>
      <w:r>
        <w:rPr>
          <w:rFonts w:ascii="Tahoma" w:hAnsi="Tahoma" w:cs="Tahoma"/>
          <w:sz w:val="28"/>
          <w:szCs w:val="28"/>
        </w:rPr>
        <w:t>Instrument Manuals</w:t>
      </w:r>
    </w:p>
    <w:p w:rsidR="005B6DF0" w:rsidRDefault="005B6DF0" w:rsidP="005B6DF0">
      <w:pPr>
        <w:rPr>
          <w:rFonts w:ascii="Tahoma" w:hAnsi="Tahoma" w:cs="Tahoma"/>
          <w:sz w:val="28"/>
          <w:szCs w:val="28"/>
        </w:rPr>
      </w:pPr>
      <w:r>
        <w:rPr>
          <w:rFonts w:ascii="Tahoma" w:hAnsi="Tahoma" w:cs="Tahoma"/>
          <w:sz w:val="28"/>
          <w:szCs w:val="28"/>
        </w:rPr>
        <w:t>Records: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Supplier selection and performance and changes to the approved supplier list;</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Staff qualifications, training and competency records;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Request for examination;</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Records of receipt of samples in the laboratory;</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Information on reagents and materials used for examinations; (lot documentation, certificates of supplies, package inserts)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Laboratory workbooks or worksheets;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Instrument printouts and retained data and information;</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Examination results and reports;</w:t>
      </w:r>
    </w:p>
    <w:p w:rsidR="00513C06" w:rsidRPr="00513C06" w:rsidRDefault="00513C06" w:rsidP="00513C06">
      <w:pPr>
        <w:rPr>
          <w:rFonts w:ascii="Tahoma" w:hAnsi="Tahoma" w:cs="Tahoma"/>
          <w:sz w:val="28"/>
          <w:szCs w:val="28"/>
        </w:rPr>
      </w:pPr>
    </w:p>
    <w:p w:rsidR="00513C06" w:rsidRPr="00513C06" w:rsidRDefault="00513C06" w:rsidP="00513C06">
      <w:pPr>
        <w:pStyle w:val="ListParagraph"/>
        <w:rPr>
          <w:rFonts w:ascii="Tahoma" w:hAnsi="Tahoma" w:cs="Tahoma"/>
          <w:sz w:val="28"/>
          <w:szCs w:val="28"/>
        </w:rPr>
      </w:pP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Instrument maintenance records including internal and external calibration records;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Calibration functions and conversion factors;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Quality control records;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Incident records and action taken;</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Accident records and action taken;</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Risk Management records;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Non-conformities identified and immediate or corrective action taken;</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Preventive action taken;</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Complaints and action taken;</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Records of internal and external audits;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Inter-laboratory comparisons of examination results;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Records of quality improvement activities;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Minutes of meetings that record decisions made about the laboratory’s quality management activities;</w:t>
      </w:r>
    </w:p>
    <w:p w:rsidR="005B6DF0" w:rsidRDefault="005B6DF0" w:rsidP="005B6DF0">
      <w:pPr>
        <w:pStyle w:val="ListParagraph"/>
        <w:numPr>
          <w:ilvl w:val="0"/>
          <w:numId w:val="2"/>
        </w:numPr>
        <w:rPr>
          <w:rFonts w:ascii="Tahoma" w:hAnsi="Tahoma" w:cs="Tahoma"/>
          <w:sz w:val="28"/>
          <w:szCs w:val="28"/>
        </w:rPr>
      </w:pPr>
      <w:r>
        <w:rPr>
          <w:rFonts w:ascii="Tahoma" w:hAnsi="Tahoma" w:cs="Tahoma"/>
          <w:sz w:val="28"/>
          <w:szCs w:val="28"/>
        </w:rPr>
        <w:t>Records of Management reviews</w:t>
      </w:r>
    </w:p>
    <w:p w:rsidR="005B6DF0" w:rsidRDefault="005B6DF0" w:rsidP="005B6DF0">
      <w:pPr>
        <w:rPr>
          <w:rFonts w:ascii="Tahoma" w:hAnsi="Tahoma" w:cs="Tahoma"/>
          <w:sz w:val="28"/>
          <w:szCs w:val="28"/>
        </w:rPr>
      </w:pPr>
    </w:p>
    <w:p w:rsidR="005B6DF0" w:rsidRDefault="005B6DF0" w:rsidP="005B6DF0">
      <w:pPr>
        <w:jc w:val="center"/>
        <w:rPr>
          <w:rFonts w:asciiTheme="minorHAnsi" w:hAnsiTheme="minorHAnsi" w:cstheme="minorBidi"/>
          <w:b/>
          <w:bCs/>
          <w:sz w:val="40"/>
          <w:szCs w:val="40"/>
        </w:rPr>
      </w:pPr>
    </w:p>
    <w:p w:rsidR="005B6DF0" w:rsidRDefault="005B6DF0" w:rsidP="00513C06">
      <w:pPr>
        <w:rPr>
          <w:b/>
          <w:bCs/>
          <w:sz w:val="40"/>
          <w:szCs w:val="40"/>
        </w:rPr>
      </w:pPr>
    </w:p>
    <w:p w:rsidR="005B6DF0" w:rsidRDefault="005B6DF0" w:rsidP="005B6DF0">
      <w:pPr>
        <w:jc w:val="center"/>
        <w:rPr>
          <w:b/>
          <w:bCs/>
          <w:sz w:val="40"/>
          <w:szCs w:val="40"/>
        </w:rPr>
      </w:pPr>
      <w:r>
        <w:rPr>
          <w:b/>
          <w:bCs/>
          <w:sz w:val="40"/>
          <w:szCs w:val="40"/>
        </w:rPr>
        <w:lastRenderedPageBreak/>
        <w:t>Who We Are</w:t>
      </w:r>
    </w:p>
    <w:p w:rsidR="005B6DF0" w:rsidRDefault="005B6DF0" w:rsidP="005B6DF0">
      <w:pPr>
        <w:jc w:val="both"/>
        <w:rPr>
          <w:sz w:val="24"/>
          <w:szCs w:val="24"/>
        </w:rPr>
      </w:pPr>
      <w:r>
        <w:rPr>
          <w:sz w:val="24"/>
          <w:szCs w:val="24"/>
        </w:rPr>
        <w:t>Accreditation, Education, Research and Scientific Services Center (AERSSC) Pvt. Ltd is an independent International and multi-economy accreditation body. AERSSC works to serve     the global communities of businesses and consumers through accreditation to the Testing and Calibration laboratories to ensure their competence to carry out specific tasks as per the International Standards ISO/IEC 17025:2005 and to Medical laboratories as per ISO 15189:2012. AERSSC is a private company established under subsection (1) of section 5 of the Companies Act 2006. AERSSC is the registered legal entity in the context of ISO/IEC 17011:2004 in Nepal. It is an independent, impartial and non-governmental body and makes no claim to be connected with the Government. AERSSC has been established to provide accreditation services to laboratories in an impartial and non-discriminatory manner.</w:t>
      </w:r>
    </w:p>
    <w:p w:rsidR="005B6DF0" w:rsidRDefault="005B6DF0" w:rsidP="005B6DF0">
      <w:pPr>
        <w:jc w:val="center"/>
        <w:rPr>
          <w:b/>
          <w:bCs/>
          <w:sz w:val="40"/>
          <w:szCs w:val="40"/>
        </w:rPr>
      </w:pPr>
      <w:r>
        <w:rPr>
          <w:b/>
          <w:bCs/>
          <w:sz w:val="40"/>
          <w:szCs w:val="40"/>
        </w:rPr>
        <w:t>What Accreditation Is</w:t>
      </w:r>
    </w:p>
    <w:p w:rsidR="005B6DF0" w:rsidRDefault="005B6DF0" w:rsidP="005B6DF0">
      <w:pPr>
        <w:jc w:val="both"/>
        <w:rPr>
          <w:sz w:val="24"/>
          <w:szCs w:val="24"/>
        </w:rPr>
      </w:pPr>
      <w:r>
        <w:rPr>
          <w:sz w:val="24"/>
          <w:szCs w:val="24"/>
        </w:rPr>
        <w:t>Accreditation is the process by which an independent, authoritative body determines –against recognized standards – the impartiality and competence of an organization or individual to carry out specific tasks.</w:t>
      </w:r>
    </w:p>
    <w:p w:rsidR="005B6DF0" w:rsidRPr="00513C06" w:rsidRDefault="005B6DF0" w:rsidP="00513C06">
      <w:pPr>
        <w:jc w:val="both"/>
        <w:rPr>
          <w:sz w:val="24"/>
          <w:szCs w:val="24"/>
        </w:rPr>
      </w:pPr>
      <w:r>
        <w:rPr>
          <w:sz w:val="24"/>
          <w:szCs w:val="24"/>
        </w:rPr>
        <w:t>Accreditation is an international network which is managed by the International Accreditation Forum (IAF), in the fields of management systems, products, services, personnel and other similar programs of conformity assessment, and the International Laboratory Accreditation Cooperation (ILAC), in the field of laboratory and inspection</w:t>
      </w:r>
      <w:r w:rsidR="00343BDE">
        <w:rPr>
          <w:sz w:val="24"/>
          <w:szCs w:val="24"/>
        </w:rPr>
        <w:t>.</w:t>
      </w:r>
    </w:p>
    <w:p w:rsidR="00343BDE" w:rsidRDefault="005B6DF0" w:rsidP="00343BDE">
      <w:pPr>
        <w:jc w:val="center"/>
        <w:rPr>
          <w:b/>
          <w:bCs/>
          <w:sz w:val="24"/>
          <w:szCs w:val="24"/>
        </w:rPr>
      </w:pPr>
      <w:r w:rsidRPr="00343BDE">
        <w:rPr>
          <w:b/>
          <w:bCs/>
          <w:sz w:val="24"/>
          <w:szCs w:val="24"/>
        </w:rPr>
        <w:t>AERSSC</w:t>
      </w:r>
      <w:r w:rsidR="00343BDE">
        <w:rPr>
          <w:b/>
          <w:bCs/>
          <w:sz w:val="24"/>
          <w:szCs w:val="24"/>
        </w:rPr>
        <w:t xml:space="preserve"> is an Associate Member of ILAC and Full Member of APLAC since APLAC Full members are only eligible </w:t>
      </w:r>
      <w:r w:rsidR="00343BDE" w:rsidRPr="00343BDE">
        <w:rPr>
          <w:b/>
          <w:bCs/>
          <w:sz w:val="24"/>
          <w:szCs w:val="24"/>
        </w:rPr>
        <w:t>to apply for APLAC MRA</w:t>
      </w:r>
      <w:r w:rsidR="00343BDE">
        <w:rPr>
          <w:b/>
          <w:bCs/>
          <w:sz w:val="24"/>
          <w:szCs w:val="24"/>
        </w:rPr>
        <w:t>.</w:t>
      </w:r>
    </w:p>
    <w:p w:rsidR="00772850" w:rsidRPr="00343BDE" w:rsidRDefault="00772850" w:rsidP="00772850">
      <w:pPr>
        <w:jc w:val="center"/>
        <w:rPr>
          <w:b/>
          <w:bCs/>
          <w:sz w:val="24"/>
          <w:szCs w:val="24"/>
        </w:rPr>
      </w:pPr>
      <w:r>
        <w:rPr>
          <w:b/>
          <w:bCs/>
          <w:sz w:val="24"/>
          <w:szCs w:val="24"/>
        </w:rPr>
        <w:t>APLAC Evaluation Team is coming to evaluate AERSSC from 16</w:t>
      </w:r>
      <w:r w:rsidRPr="00772850">
        <w:rPr>
          <w:b/>
          <w:bCs/>
          <w:sz w:val="24"/>
          <w:szCs w:val="24"/>
          <w:vertAlign w:val="superscript"/>
        </w:rPr>
        <w:t>th</w:t>
      </w:r>
      <w:r>
        <w:rPr>
          <w:b/>
          <w:bCs/>
          <w:sz w:val="24"/>
          <w:szCs w:val="24"/>
        </w:rPr>
        <w:t xml:space="preserve"> September to 22</w:t>
      </w:r>
      <w:r w:rsidRPr="00772850">
        <w:rPr>
          <w:b/>
          <w:bCs/>
          <w:sz w:val="24"/>
          <w:szCs w:val="24"/>
          <w:vertAlign w:val="superscript"/>
        </w:rPr>
        <w:t>nd</w:t>
      </w:r>
      <w:r>
        <w:rPr>
          <w:b/>
          <w:bCs/>
          <w:sz w:val="24"/>
          <w:szCs w:val="24"/>
        </w:rPr>
        <w:t xml:space="preserve"> September 2018.</w:t>
      </w:r>
    </w:p>
    <w:p w:rsidR="005B6DF0" w:rsidRDefault="005B6DF0" w:rsidP="005B6DF0">
      <w:pPr>
        <w:jc w:val="both"/>
        <w:rPr>
          <w:sz w:val="24"/>
          <w:szCs w:val="24"/>
        </w:rPr>
      </w:pPr>
      <w:r>
        <w:rPr>
          <w:sz w:val="24"/>
          <w:szCs w:val="24"/>
        </w:rPr>
        <w:t>The accreditation process involves specialist technical assessors conducting a thorough assessment of all factors in the facility that affect the production of technical data, including:</w:t>
      </w:r>
    </w:p>
    <w:p w:rsidR="005B6DF0" w:rsidRDefault="005B6DF0" w:rsidP="005B6DF0">
      <w:pPr>
        <w:pStyle w:val="ListParagraph"/>
        <w:numPr>
          <w:ilvl w:val="0"/>
          <w:numId w:val="3"/>
        </w:numPr>
        <w:tabs>
          <w:tab w:val="left" w:pos="1985"/>
        </w:tabs>
        <w:rPr>
          <w:sz w:val="24"/>
          <w:szCs w:val="24"/>
        </w:rPr>
      </w:pPr>
      <w:r>
        <w:rPr>
          <w:sz w:val="24"/>
          <w:szCs w:val="24"/>
        </w:rPr>
        <w:t>Technical competence of staff;</w:t>
      </w:r>
    </w:p>
    <w:p w:rsidR="005B6DF0" w:rsidRDefault="005B6DF0" w:rsidP="005B6DF0">
      <w:pPr>
        <w:pStyle w:val="ListParagraph"/>
        <w:numPr>
          <w:ilvl w:val="0"/>
          <w:numId w:val="3"/>
        </w:numPr>
        <w:tabs>
          <w:tab w:val="left" w:pos="1985"/>
        </w:tabs>
        <w:rPr>
          <w:sz w:val="24"/>
          <w:szCs w:val="24"/>
        </w:rPr>
      </w:pPr>
      <w:r>
        <w:rPr>
          <w:sz w:val="24"/>
          <w:szCs w:val="24"/>
        </w:rPr>
        <w:t>Validity and appropriateness of methods used;</w:t>
      </w:r>
    </w:p>
    <w:p w:rsidR="005B6DF0" w:rsidRPr="00513C06" w:rsidRDefault="005B6DF0" w:rsidP="00513C06">
      <w:pPr>
        <w:pStyle w:val="ListParagraph"/>
        <w:numPr>
          <w:ilvl w:val="0"/>
          <w:numId w:val="3"/>
        </w:numPr>
        <w:tabs>
          <w:tab w:val="left" w:pos="1985"/>
        </w:tabs>
        <w:rPr>
          <w:sz w:val="24"/>
          <w:szCs w:val="24"/>
        </w:rPr>
      </w:pPr>
      <w:r>
        <w:rPr>
          <w:sz w:val="24"/>
          <w:szCs w:val="24"/>
        </w:rPr>
        <w:t>Traceability of measurements and calibrations to National Standards;</w:t>
      </w:r>
    </w:p>
    <w:p w:rsidR="005B6DF0" w:rsidRPr="005B6DF0" w:rsidRDefault="005B6DF0" w:rsidP="005B6DF0">
      <w:pPr>
        <w:pStyle w:val="ListParagraph"/>
        <w:numPr>
          <w:ilvl w:val="0"/>
          <w:numId w:val="3"/>
        </w:numPr>
        <w:tabs>
          <w:tab w:val="left" w:pos="1985"/>
        </w:tabs>
        <w:rPr>
          <w:sz w:val="24"/>
          <w:szCs w:val="24"/>
        </w:rPr>
      </w:pPr>
      <w:r>
        <w:rPr>
          <w:sz w:val="24"/>
          <w:szCs w:val="24"/>
        </w:rPr>
        <w:t>Suitability, calibration and maintenance of test equipment;</w:t>
      </w:r>
    </w:p>
    <w:p w:rsidR="005B6DF0" w:rsidRDefault="005B6DF0" w:rsidP="005B6DF0">
      <w:pPr>
        <w:pStyle w:val="ListParagraph"/>
        <w:numPr>
          <w:ilvl w:val="0"/>
          <w:numId w:val="3"/>
        </w:numPr>
        <w:tabs>
          <w:tab w:val="left" w:pos="1985"/>
        </w:tabs>
        <w:rPr>
          <w:sz w:val="24"/>
          <w:szCs w:val="24"/>
        </w:rPr>
      </w:pPr>
      <w:r>
        <w:rPr>
          <w:sz w:val="24"/>
          <w:szCs w:val="24"/>
        </w:rPr>
        <w:lastRenderedPageBreak/>
        <w:t>Quality assurance of test, inspection or calibration data.</w:t>
      </w:r>
    </w:p>
    <w:p w:rsidR="005B6DF0" w:rsidRDefault="005B6DF0" w:rsidP="005B6DF0">
      <w:pPr>
        <w:jc w:val="center"/>
        <w:rPr>
          <w:b/>
          <w:bCs/>
          <w:sz w:val="40"/>
          <w:szCs w:val="40"/>
        </w:rPr>
      </w:pPr>
      <w:r>
        <w:rPr>
          <w:b/>
          <w:bCs/>
          <w:sz w:val="40"/>
          <w:szCs w:val="40"/>
        </w:rPr>
        <w:t>Whom We Accredit</w:t>
      </w:r>
    </w:p>
    <w:p w:rsidR="005B6DF0" w:rsidRDefault="005B6DF0" w:rsidP="005B6DF0">
      <w:pPr>
        <w:rPr>
          <w:sz w:val="24"/>
          <w:szCs w:val="24"/>
        </w:rPr>
      </w:pPr>
      <w:r>
        <w:rPr>
          <w:sz w:val="24"/>
          <w:szCs w:val="24"/>
        </w:rPr>
        <w:t>Testing and Calibration Laboratory</w:t>
      </w:r>
      <w:r>
        <w:rPr>
          <w:sz w:val="24"/>
          <w:szCs w:val="24"/>
        </w:rPr>
        <w:tab/>
      </w:r>
      <w:r>
        <w:rPr>
          <w:sz w:val="24"/>
          <w:szCs w:val="24"/>
        </w:rPr>
        <w:tab/>
      </w:r>
      <w:r>
        <w:rPr>
          <w:sz w:val="24"/>
          <w:szCs w:val="24"/>
        </w:rPr>
        <w:tab/>
      </w:r>
      <w:r>
        <w:rPr>
          <w:sz w:val="24"/>
          <w:szCs w:val="24"/>
        </w:rPr>
        <w:tab/>
      </w:r>
      <w:r>
        <w:rPr>
          <w:sz w:val="24"/>
          <w:szCs w:val="24"/>
        </w:rPr>
        <w:tab/>
        <w:t>ISO/IEC 17025:2005</w:t>
      </w:r>
    </w:p>
    <w:p w:rsidR="005B6DF0" w:rsidRDefault="005B6DF0" w:rsidP="005B6DF0">
      <w:pPr>
        <w:rPr>
          <w:sz w:val="24"/>
          <w:szCs w:val="24"/>
        </w:rPr>
      </w:pPr>
      <w:r>
        <w:rPr>
          <w:sz w:val="24"/>
          <w:szCs w:val="24"/>
        </w:rPr>
        <w:t>Medical Laboratory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ISO15189:2012</w:t>
      </w:r>
    </w:p>
    <w:p w:rsidR="005B6DF0" w:rsidRDefault="005B6DF0" w:rsidP="005B6DF0">
      <w:pPr>
        <w:jc w:val="center"/>
        <w:rPr>
          <w:b/>
          <w:bCs/>
          <w:sz w:val="40"/>
          <w:szCs w:val="40"/>
        </w:rPr>
      </w:pPr>
      <w:r>
        <w:rPr>
          <w:b/>
          <w:bCs/>
          <w:sz w:val="40"/>
          <w:szCs w:val="40"/>
        </w:rPr>
        <w:t>What Our Accreditation Process Is</w:t>
      </w:r>
    </w:p>
    <w:p w:rsidR="005B6DF0" w:rsidRDefault="005B6DF0" w:rsidP="005B6DF0">
      <w:pPr>
        <w:pStyle w:val="ListParagraph"/>
        <w:numPr>
          <w:ilvl w:val="0"/>
          <w:numId w:val="4"/>
        </w:numPr>
        <w:rPr>
          <w:sz w:val="24"/>
          <w:szCs w:val="24"/>
        </w:rPr>
      </w:pPr>
      <w:r>
        <w:rPr>
          <w:sz w:val="24"/>
          <w:szCs w:val="24"/>
        </w:rPr>
        <w:t>Application</w:t>
      </w:r>
    </w:p>
    <w:p w:rsidR="005B6DF0" w:rsidRDefault="005B6DF0" w:rsidP="005B6DF0">
      <w:pPr>
        <w:pStyle w:val="ListParagraph"/>
        <w:numPr>
          <w:ilvl w:val="0"/>
          <w:numId w:val="4"/>
        </w:numPr>
        <w:rPr>
          <w:sz w:val="24"/>
          <w:szCs w:val="24"/>
        </w:rPr>
      </w:pPr>
      <w:r>
        <w:rPr>
          <w:sz w:val="24"/>
          <w:szCs w:val="24"/>
        </w:rPr>
        <w:t xml:space="preserve">Resource Review; Preparation for Assessment; Formation of Assessment Team </w:t>
      </w:r>
    </w:p>
    <w:p w:rsidR="005B6DF0" w:rsidRDefault="005B6DF0" w:rsidP="005B6DF0">
      <w:pPr>
        <w:pStyle w:val="ListParagraph"/>
        <w:numPr>
          <w:ilvl w:val="0"/>
          <w:numId w:val="4"/>
        </w:numPr>
        <w:rPr>
          <w:sz w:val="24"/>
          <w:szCs w:val="24"/>
        </w:rPr>
      </w:pPr>
      <w:r>
        <w:rPr>
          <w:sz w:val="24"/>
          <w:szCs w:val="24"/>
        </w:rPr>
        <w:t>Adequacy Audit</w:t>
      </w:r>
    </w:p>
    <w:p w:rsidR="005B6DF0" w:rsidRDefault="005B6DF0" w:rsidP="005B6DF0">
      <w:pPr>
        <w:pStyle w:val="ListParagraph"/>
        <w:numPr>
          <w:ilvl w:val="0"/>
          <w:numId w:val="4"/>
        </w:numPr>
        <w:rPr>
          <w:sz w:val="24"/>
          <w:szCs w:val="24"/>
        </w:rPr>
      </w:pPr>
      <w:r>
        <w:rPr>
          <w:sz w:val="24"/>
          <w:szCs w:val="24"/>
        </w:rPr>
        <w:t>On-site Assessment; Analysis of findings and assessment report; Evaluation</w:t>
      </w:r>
    </w:p>
    <w:p w:rsidR="005B6DF0" w:rsidRDefault="005B6DF0" w:rsidP="005B6DF0">
      <w:pPr>
        <w:pStyle w:val="ListParagraph"/>
        <w:numPr>
          <w:ilvl w:val="0"/>
          <w:numId w:val="4"/>
        </w:numPr>
        <w:rPr>
          <w:sz w:val="24"/>
          <w:szCs w:val="24"/>
        </w:rPr>
      </w:pPr>
      <w:r>
        <w:rPr>
          <w:sz w:val="24"/>
          <w:szCs w:val="24"/>
        </w:rPr>
        <w:t>Corrective Action if any</w:t>
      </w:r>
    </w:p>
    <w:p w:rsidR="005B6DF0" w:rsidRDefault="005B6DF0" w:rsidP="005B6DF0">
      <w:pPr>
        <w:pStyle w:val="ListParagraph"/>
        <w:numPr>
          <w:ilvl w:val="0"/>
          <w:numId w:val="4"/>
        </w:numPr>
        <w:rPr>
          <w:sz w:val="24"/>
          <w:szCs w:val="24"/>
        </w:rPr>
      </w:pPr>
      <w:r>
        <w:rPr>
          <w:sz w:val="24"/>
          <w:szCs w:val="24"/>
        </w:rPr>
        <w:t>Accreditation approval Committee decision; Awarding Accreditation</w:t>
      </w:r>
    </w:p>
    <w:p w:rsidR="005B6DF0" w:rsidRDefault="005B6DF0" w:rsidP="005B6DF0">
      <w:pPr>
        <w:pStyle w:val="ListParagraph"/>
        <w:numPr>
          <w:ilvl w:val="0"/>
          <w:numId w:val="4"/>
        </w:numPr>
        <w:rPr>
          <w:sz w:val="24"/>
          <w:szCs w:val="24"/>
        </w:rPr>
      </w:pPr>
      <w:r>
        <w:rPr>
          <w:sz w:val="24"/>
          <w:szCs w:val="24"/>
        </w:rPr>
        <w:t>Surveillance through Reassessment</w:t>
      </w:r>
    </w:p>
    <w:p w:rsidR="005B6DF0" w:rsidRDefault="005B6DF0" w:rsidP="005B6DF0">
      <w:pPr>
        <w:jc w:val="center"/>
        <w:rPr>
          <w:b/>
          <w:bCs/>
          <w:sz w:val="40"/>
          <w:szCs w:val="40"/>
        </w:rPr>
      </w:pPr>
      <w:r>
        <w:rPr>
          <w:b/>
          <w:bCs/>
          <w:sz w:val="40"/>
          <w:szCs w:val="40"/>
        </w:rPr>
        <w:t>What benefit does accreditation provide?</w:t>
      </w:r>
    </w:p>
    <w:p w:rsidR="005B6DF0" w:rsidRDefault="005B6DF0" w:rsidP="005B6DF0">
      <w:pPr>
        <w:pStyle w:val="ListParagraph"/>
        <w:numPr>
          <w:ilvl w:val="0"/>
          <w:numId w:val="5"/>
        </w:numPr>
        <w:rPr>
          <w:sz w:val="24"/>
          <w:szCs w:val="24"/>
        </w:rPr>
      </w:pPr>
      <w:r>
        <w:rPr>
          <w:sz w:val="24"/>
          <w:szCs w:val="24"/>
        </w:rPr>
        <w:t>Verification of conformity with standards and regulations;</w:t>
      </w:r>
    </w:p>
    <w:p w:rsidR="005B6DF0" w:rsidRDefault="005B6DF0" w:rsidP="005B6DF0">
      <w:pPr>
        <w:pStyle w:val="ListParagraph"/>
        <w:numPr>
          <w:ilvl w:val="0"/>
          <w:numId w:val="5"/>
        </w:numPr>
        <w:rPr>
          <w:sz w:val="24"/>
          <w:szCs w:val="24"/>
        </w:rPr>
      </w:pPr>
      <w:r>
        <w:rPr>
          <w:sz w:val="24"/>
          <w:szCs w:val="24"/>
        </w:rPr>
        <w:t>Demonstration of competence;</w:t>
      </w:r>
    </w:p>
    <w:p w:rsidR="005B6DF0" w:rsidRDefault="005B6DF0" w:rsidP="005B6DF0">
      <w:pPr>
        <w:pStyle w:val="ListParagraph"/>
        <w:numPr>
          <w:ilvl w:val="0"/>
          <w:numId w:val="5"/>
        </w:numPr>
        <w:rPr>
          <w:sz w:val="24"/>
          <w:szCs w:val="24"/>
        </w:rPr>
      </w:pPr>
      <w:r>
        <w:rPr>
          <w:sz w:val="24"/>
          <w:szCs w:val="24"/>
        </w:rPr>
        <w:t>Oversight of health and social care services and Efficient delivery of public services;</w:t>
      </w:r>
    </w:p>
    <w:p w:rsidR="005B6DF0" w:rsidRDefault="005B6DF0" w:rsidP="005B6DF0">
      <w:pPr>
        <w:pStyle w:val="ListParagraph"/>
        <w:numPr>
          <w:ilvl w:val="0"/>
          <w:numId w:val="5"/>
        </w:numPr>
        <w:rPr>
          <w:sz w:val="24"/>
          <w:szCs w:val="24"/>
        </w:rPr>
      </w:pPr>
      <w:r>
        <w:rPr>
          <w:sz w:val="24"/>
          <w:szCs w:val="24"/>
        </w:rPr>
        <w:t xml:space="preserve">Trade facilitation;  </w:t>
      </w:r>
    </w:p>
    <w:p w:rsidR="005B6DF0" w:rsidRDefault="005B6DF0" w:rsidP="00513C06">
      <w:pPr>
        <w:pStyle w:val="ListParagraph"/>
        <w:numPr>
          <w:ilvl w:val="0"/>
          <w:numId w:val="5"/>
        </w:numPr>
        <w:rPr>
          <w:sz w:val="24"/>
          <w:szCs w:val="24"/>
        </w:rPr>
      </w:pPr>
      <w:r>
        <w:rPr>
          <w:sz w:val="24"/>
          <w:szCs w:val="24"/>
        </w:rPr>
        <w:t>Assessment of risk and its management</w:t>
      </w:r>
    </w:p>
    <w:p w:rsidR="00343BDE" w:rsidRDefault="00343BDE" w:rsidP="00343BDE">
      <w:pPr>
        <w:rPr>
          <w:sz w:val="24"/>
          <w:szCs w:val="24"/>
        </w:rPr>
      </w:pPr>
    </w:p>
    <w:p w:rsidR="00343BDE" w:rsidRDefault="00343BDE" w:rsidP="00343BDE">
      <w:pPr>
        <w:rPr>
          <w:sz w:val="24"/>
          <w:szCs w:val="24"/>
        </w:rPr>
      </w:pPr>
    </w:p>
    <w:p w:rsidR="00343BDE" w:rsidRPr="00343BDE" w:rsidRDefault="00343BDE" w:rsidP="00343BDE">
      <w:pPr>
        <w:rPr>
          <w:sz w:val="24"/>
          <w:szCs w:val="24"/>
        </w:rPr>
      </w:pPr>
    </w:p>
    <w:p w:rsidR="00FD799A" w:rsidRDefault="00FD799A" w:rsidP="005B6DF0">
      <w:pPr>
        <w:pStyle w:val="ListParagraph"/>
        <w:ind w:left="0"/>
        <w:jc w:val="center"/>
        <w:rPr>
          <w:b/>
          <w:bCs/>
          <w:sz w:val="40"/>
          <w:szCs w:val="40"/>
        </w:rPr>
      </w:pPr>
    </w:p>
    <w:p w:rsidR="005B6DF0" w:rsidRDefault="005B6DF0" w:rsidP="005B6DF0">
      <w:pPr>
        <w:pStyle w:val="ListParagraph"/>
        <w:ind w:left="0"/>
        <w:jc w:val="center"/>
        <w:rPr>
          <w:b/>
          <w:bCs/>
          <w:sz w:val="40"/>
          <w:szCs w:val="40"/>
        </w:rPr>
      </w:pPr>
      <w:r>
        <w:rPr>
          <w:b/>
          <w:bCs/>
          <w:sz w:val="40"/>
          <w:szCs w:val="40"/>
        </w:rPr>
        <w:t>List of Laboratories Accredited by AERSSC</w:t>
      </w:r>
    </w:p>
    <w:p w:rsidR="005B6DF0" w:rsidRDefault="005B6DF0" w:rsidP="005B6DF0">
      <w:pPr>
        <w:pStyle w:val="ListParagraph"/>
        <w:ind w:left="0"/>
        <w:jc w:val="both"/>
        <w:rPr>
          <w:sz w:val="24"/>
          <w:szCs w:val="24"/>
        </w:rPr>
      </w:pPr>
      <w:r>
        <w:rPr>
          <w:sz w:val="24"/>
          <w:szCs w:val="24"/>
        </w:rPr>
        <w:t xml:space="preserve">Nepal Research Foundation Pvt. Ltd. (Analytical Service Division), </w:t>
      </w:r>
      <w:proofErr w:type="spellStart"/>
      <w:r>
        <w:rPr>
          <w:sz w:val="24"/>
          <w:szCs w:val="24"/>
        </w:rPr>
        <w:t>Birgunja</w:t>
      </w:r>
      <w:proofErr w:type="spellEnd"/>
      <w:r>
        <w:rPr>
          <w:sz w:val="24"/>
          <w:szCs w:val="24"/>
        </w:rPr>
        <w:t>, Nepal</w:t>
      </w:r>
    </w:p>
    <w:p w:rsidR="00513C06" w:rsidRDefault="005B6DF0" w:rsidP="005B6DF0">
      <w:pPr>
        <w:pStyle w:val="ListParagraph"/>
        <w:ind w:left="0"/>
        <w:jc w:val="both"/>
        <w:rPr>
          <w:sz w:val="24"/>
          <w:szCs w:val="24"/>
        </w:rPr>
      </w:pPr>
      <w:proofErr w:type="spellStart"/>
      <w:r>
        <w:rPr>
          <w:sz w:val="24"/>
          <w:szCs w:val="24"/>
        </w:rPr>
        <w:t>Samyak</w:t>
      </w:r>
      <w:proofErr w:type="spellEnd"/>
      <w:r>
        <w:rPr>
          <w:sz w:val="24"/>
          <w:szCs w:val="24"/>
        </w:rPr>
        <w:t xml:space="preserve"> Diagnostic Pvt. Ltd. </w:t>
      </w:r>
      <w:proofErr w:type="spellStart"/>
      <w:r>
        <w:rPr>
          <w:sz w:val="24"/>
          <w:szCs w:val="24"/>
        </w:rPr>
        <w:t>Jawalakhel</w:t>
      </w:r>
      <w:proofErr w:type="spellEnd"/>
      <w:r>
        <w:rPr>
          <w:sz w:val="24"/>
          <w:szCs w:val="24"/>
        </w:rPr>
        <w:t xml:space="preserve">, </w:t>
      </w:r>
      <w:proofErr w:type="spellStart"/>
      <w:r>
        <w:rPr>
          <w:sz w:val="24"/>
          <w:szCs w:val="24"/>
        </w:rPr>
        <w:t>Lalitpur</w:t>
      </w:r>
      <w:proofErr w:type="spellEnd"/>
      <w:r>
        <w:rPr>
          <w:sz w:val="24"/>
          <w:szCs w:val="24"/>
        </w:rPr>
        <w:t xml:space="preserve">, Nepal </w:t>
      </w:r>
    </w:p>
    <w:p w:rsidR="005B6DF0" w:rsidRDefault="005B6DF0" w:rsidP="005B6DF0">
      <w:pPr>
        <w:pStyle w:val="ListParagraph"/>
        <w:ind w:left="0"/>
        <w:jc w:val="both"/>
        <w:rPr>
          <w:sz w:val="24"/>
          <w:szCs w:val="24"/>
        </w:rPr>
      </w:pPr>
      <w:r>
        <w:rPr>
          <w:sz w:val="24"/>
          <w:szCs w:val="24"/>
        </w:rPr>
        <w:t xml:space="preserve">Kathmandu Path Lab &amp; Diagnostic Center Pvt. </w:t>
      </w:r>
      <w:proofErr w:type="gramStart"/>
      <w:r>
        <w:rPr>
          <w:sz w:val="24"/>
          <w:szCs w:val="24"/>
        </w:rPr>
        <w:t>Ltd. ,</w:t>
      </w:r>
      <w:proofErr w:type="spellStart"/>
      <w:r>
        <w:rPr>
          <w:sz w:val="24"/>
          <w:szCs w:val="24"/>
        </w:rPr>
        <w:t>Nagpokhari</w:t>
      </w:r>
      <w:proofErr w:type="spellEnd"/>
      <w:proofErr w:type="gramEnd"/>
      <w:r>
        <w:rPr>
          <w:sz w:val="24"/>
          <w:szCs w:val="24"/>
        </w:rPr>
        <w:t xml:space="preserve">, Kathmandu, Nepal </w:t>
      </w:r>
    </w:p>
    <w:p w:rsidR="005B6DF0" w:rsidRDefault="00513C06" w:rsidP="005B6DF0">
      <w:pPr>
        <w:pStyle w:val="ListParagraph"/>
        <w:ind w:left="0"/>
        <w:jc w:val="both"/>
        <w:rPr>
          <w:sz w:val="24"/>
          <w:szCs w:val="24"/>
        </w:rPr>
      </w:pPr>
      <w:r>
        <w:rPr>
          <w:sz w:val="24"/>
          <w:szCs w:val="24"/>
        </w:rPr>
        <w:t xml:space="preserve">Reliable Diagnostic Lab, </w:t>
      </w:r>
      <w:proofErr w:type="spellStart"/>
      <w:r>
        <w:rPr>
          <w:sz w:val="24"/>
          <w:szCs w:val="24"/>
        </w:rPr>
        <w:t>Anamnagar</w:t>
      </w:r>
      <w:proofErr w:type="spellEnd"/>
      <w:r>
        <w:rPr>
          <w:sz w:val="24"/>
          <w:szCs w:val="24"/>
        </w:rPr>
        <w:t>, Kathmandu, Nepal</w:t>
      </w:r>
    </w:p>
    <w:p w:rsidR="005B6DF0" w:rsidRDefault="005B6DF0" w:rsidP="005B6DF0">
      <w:pPr>
        <w:pStyle w:val="ListParagraph"/>
        <w:ind w:left="0"/>
        <w:jc w:val="center"/>
        <w:rPr>
          <w:b/>
          <w:sz w:val="36"/>
          <w:szCs w:val="36"/>
        </w:rPr>
      </w:pPr>
      <w:r>
        <w:rPr>
          <w:b/>
          <w:sz w:val="36"/>
          <w:szCs w:val="36"/>
        </w:rPr>
        <w:t>How does laboratory accreditation differ from ISO 9001 certification?</w:t>
      </w:r>
    </w:p>
    <w:p w:rsidR="005B6DF0" w:rsidRDefault="005B6DF0" w:rsidP="005B6DF0">
      <w:pPr>
        <w:pStyle w:val="ListParagraph"/>
        <w:ind w:left="0"/>
        <w:jc w:val="both"/>
        <w:rPr>
          <w:sz w:val="24"/>
          <w:szCs w:val="24"/>
        </w:rPr>
      </w:pPr>
      <w:r>
        <w:rPr>
          <w:sz w:val="24"/>
          <w:szCs w:val="24"/>
        </w:rPr>
        <w:t xml:space="preserve">Holding accredited certification to ISO 9001 does not, on its own, represent evidence that a laboratory is able to provide with accurate and reliable testing or calibration. </w:t>
      </w:r>
    </w:p>
    <w:p w:rsidR="005B6DF0" w:rsidRDefault="005B6DF0" w:rsidP="005B6DF0">
      <w:pPr>
        <w:pStyle w:val="ListParagraph"/>
        <w:ind w:left="0"/>
        <w:jc w:val="both"/>
        <w:rPr>
          <w:sz w:val="24"/>
          <w:szCs w:val="24"/>
        </w:rPr>
      </w:pPr>
      <w:r>
        <w:rPr>
          <w:sz w:val="24"/>
          <w:szCs w:val="24"/>
        </w:rPr>
        <w:t>Using the services of a supplier accredited to ISO/IEC 17025 or ISO 15189 means that you are using a laboratory that has been independently assessed to have demonstrated technical competence underpinned by a quality system.</w:t>
      </w:r>
    </w:p>
    <w:p w:rsidR="005B6DF0" w:rsidRDefault="005B6DF0" w:rsidP="005B6DF0">
      <w:pPr>
        <w:pStyle w:val="ListParagraph"/>
        <w:jc w:val="center"/>
        <w:rPr>
          <w:b/>
          <w:bCs/>
          <w:sz w:val="40"/>
          <w:szCs w:val="40"/>
        </w:rPr>
      </w:pPr>
      <w:r>
        <w:rPr>
          <w:b/>
          <w:bCs/>
          <w:sz w:val="40"/>
          <w:szCs w:val="40"/>
        </w:rPr>
        <w:t>Apply for Accreditation to us:</w:t>
      </w:r>
    </w:p>
    <w:p w:rsidR="005B6DF0" w:rsidRDefault="005B6DF0" w:rsidP="005B6DF0">
      <w:pPr>
        <w:jc w:val="center"/>
        <w:rPr>
          <w:sz w:val="24"/>
          <w:szCs w:val="24"/>
        </w:rPr>
      </w:pPr>
      <w:r>
        <w:rPr>
          <w:sz w:val="24"/>
          <w:szCs w:val="24"/>
        </w:rPr>
        <w:t>Accreditation, Education, Research and Scientific Services Center Pvt. Ltd</w:t>
      </w:r>
    </w:p>
    <w:p w:rsidR="00C71110" w:rsidRDefault="005B6DF0" w:rsidP="00BC3BF8">
      <w:pPr>
        <w:jc w:val="center"/>
        <w:rPr>
          <w:sz w:val="24"/>
          <w:szCs w:val="24"/>
        </w:rPr>
      </w:pPr>
      <w:proofErr w:type="spellStart"/>
      <w:r>
        <w:rPr>
          <w:sz w:val="24"/>
          <w:szCs w:val="24"/>
        </w:rPr>
        <w:t>P.O.Box</w:t>
      </w:r>
      <w:proofErr w:type="spellEnd"/>
      <w:r>
        <w:rPr>
          <w:sz w:val="24"/>
          <w:szCs w:val="24"/>
        </w:rPr>
        <w:t xml:space="preserve"> 12088; </w:t>
      </w:r>
      <w:proofErr w:type="spellStart"/>
      <w:r>
        <w:rPr>
          <w:sz w:val="24"/>
          <w:szCs w:val="24"/>
        </w:rPr>
        <w:t>Jawalakhel</w:t>
      </w:r>
      <w:proofErr w:type="spellEnd"/>
      <w:r>
        <w:rPr>
          <w:sz w:val="24"/>
          <w:szCs w:val="24"/>
        </w:rPr>
        <w:t xml:space="preserve">, </w:t>
      </w:r>
      <w:proofErr w:type="spellStart"/>
      <w:r>
        <w:rPr>
          <w:sz w:val="24"/>
          <w:szCs w:val="24"/>
        </w:rPr>
        <w:t>Lalitpur</w:t>
      </w:r>
      <w:proofErr w:type="spellEnd"/>
      <w:r>
        <w:rPr>
          <w:sz w:val="24"/>
          <w:szCs w:val="24"/>
        </w:rPr>
        <w:t xml:space="preserve">, Nepal; Email: </w:t>
      </w:r>
      <w:hyperlink r:id="rId8" w:history="1">
        <w:r>
          <w:rPr>
            <w:rStyle w:val="Hyperlink"/>
            <w:sz w:val="24"/>
            <w:szCs w:val="24"/>
          </w:rPr>
          <w:t>sitaramjoshi9@gmail.com</w:t>
        </w:r>
      </w:hyperlink>
      <w:r>
        <w:rPr>
          <w:sz w:val="24"/>
          <w:szCs w:val="24"/>
        </w:rPr>
        <w:t xml:space="preserve">;  </w:t>
      </w:r>
    </w:p>
    <w:p w:rsidR="005B6DF0" w:rsidRPr="00BC3BF8" w:rsidRDefault="00C71110" w:rsidP="00BC3BF8">
      <w:pPr>
        <w:jc w:val="center"/>
        <w:rPr>
          <w:sz w:val="24"/>
          <w:szCs w:val="24"/>
        </w:rPr>
      </w:pPr>
      <w:r>
        <w:rPr>
          <w:sz w:val="24"/>
          <w:szCs w:val="24"/>
        </w:rPr>
        <w:t>Website:</w:t>
      </w:r>
      <w:r w:rsidR="00211090">
        <w:rPr>
          <w:b/>
          <w:bCs/>
          <w:sz w:val="32"/>
          <w:szCs w:val="32"/>
        </w:rPr>
        <w:t xml:space="preserve"> www.aerssc.com.np</w:t>
      </w:r>
    </w:p>
    <w:p w:rsidR="00915D42" w:rsidRPr="00D51C28" w:rsidRDefault="00D51C28" w:rsidP="00D51C28">
      <w:pPr>
        <w:jc w:val="center"/>
        <w:rPr>
          <w:b/>
          <w:sz w:val="32"/>
          <w:szCs w:val="32"/>
          <w:u w:val="single"/>
        </w:rPr>
      </w:pPr>
      <w:r>
        <w:rPr>
          <w:b/>
          <w:sz w:val="32"/>
          <w:szCs w:val="32"/>
          <w:u w:val="single"/>
        </w:rPr>
        <w:t xml:space="preserve">Annual </w:t>
      </w:r>
      <w:bookmarkStart w:id="0" w:name="_GoBack"/>
      <w:bookmarkEnd w:id="0"/>
      <w:r w:rsidRPr="00D51C28">
        <w:rPr>
          <w:b/>
          <w:sz w:val="32"/>
          <w:szCs w:val="32"/>
          <w:u w:val="single"/>
        </w:rPr>
        <w:t>Fee for Accreditation</w:t>
      </w:r>
    </w:p>
    <w:p w:rsidR="00D51C28" w:rsidRDefault="00D51C28" w:rsidP="00D51C28">
      <w:r>
        <w:t xml:space="preserve">Physical and Chemical </w:t>
      </w:r>
      <w:r w:rsidRPr="00D51C28">
        <w:t xml:space="preserve">Testing </w:t>
      </w:r>
      <w:r>
        <w:t>Lab:</w:t>
      </w:r>
      <w:r>
        <w:tab/>
      </w:r>
      <w:r>
        <w:tab/>
      </w:r>
      <w:r>
        <w:tab/>
      </w:r>
      <w:r>
        <w:tab/>
      </w:r>
      <w:r>
        <w:tab/>
      </w:r>
      <w:r>
        <w:tab/>
      </w:r>
      <w:r>
        <w:tab/>
      </w:r>
      <w:r>
        <w:tab/>
        <w:t>35000/</w:t>
      </w:r>
    </w:p>
    <w:p w:rsidR="00D51C28" w:rsidRPr="00D51C28" w:rsidRDefault="00D51C28" w:rsidP="00D51C28">
      <w:r>
        <w:t>Medical Lab:</w:t>
      </w:r>
      <w:r>
        <w:tab/>
      </w:r>
      <w:r>
        <w:tab/>
      </w:r>
      <w:r>
        <w:tab/>
      </w:r>
      <w:r>
        <w:tab/>
      </w:r>
      <w:r>
        <w:tab/>
      </w:r>
      <w:r>
        <w:tab/>
      </w:r>
      <w:r>
        <w:tab/>
      </w:r>
      <w:r>
        <w:tab/>
      </w:r>
      <w:r>
        <w:tab/>
      </w:r>
      <w:r>
        <w:tab/>
      </w:r>
      <w:r>
        <w:tab/>
        <w:t>50000/</w:t>
      </w:r>
      <w:r>
        <w:tab/>
      </w:r>
    </w:p>
    <w:sectPr w:rsidR="00D51C28" w:rsidRPr="00D51C28" w:rsidSect="004139DE">
      <w:headerReference w:type="default" r:id="rId9"/>
      <w:footerReference w:type="default" r:id="rId10"/>
      <w:headerReference w:type="firs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FA" w:rsidRDefault="00074AFA" w:rsidP="002C250D">
      <w:pPr>
        <w:spacing w:after="0" w:line="240" w:lineRule="auto"/>
      </w:pPr>
      <w:r>
        <w:separator/>
      </w:r>
    </w:p>
  </w:endnote>
  <w:endnote w:type="continuationSeparator" w:id="0">
    <w:p w:rsidR="00074AFA" w:rsidRDefault="00074AFA" w:rsidP="002C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1F" w:rsidRPr="005B571F" w:rsidRDefault="005B571F" w:rsidP="00E86F40">
    <w:pPr>
      <w:spacing w:after="0" w:line="360" w:lineRule="auto"/>
      <w:rPr>
        <w:rFonts w:cs="Calibri"/>
        <w:color w:val="002060"/>
        <w:sz w:val="18"/>
        <w:szCs w:val="24"/>
      </w:rPr>
    </w:pPr>
    <w:r w:rsidRPr="005B571F">
      <w:rPr>
        <w:rFonts w:cs="Calibri"/>
        <w:color w:val="002060"/>
        <w:sz w:val="18"/>
        <w:szCs w:val="24"/>
      </w:rPr>
      <w:t xml:space="preserve">Address: </w:t>
    </w:r>
    <w:proofErr w:type="spellStart"/>
    <w:r w:rsidRPr="005B571F">
      <w:rPr>
        <w:rFonts w:cs="Calibri"/>
        <w:color w:val="002060"/>
        <w:sz w:val="18"/>
        <w:szCs w:val="24"/>
      </w:rPr>
      <w:t>Jawalakhel</w:t>
    </w:r>
    <w:proofErr w:type="spellEnd"/>
    <w:r w:rsidRPr="005B571F">
      <w:rPr>
        <w:rFonts w:cs="Calibri"/>
        <w:color w:val="002060"/>
        <w:sz w:val="18"/>
        <w:szCs w:val="24"/>
      </w:rPr>
      <w:t xml:space="preserve">, </w:t>
    </w:r>
    <w:proofErr w:type="spellStart"/>
    <w:r w:rsidRPr="005B571F">
      <w:rPr>
        <w:rFonts w:cs="Calibri"/>
        <w:color w:val="002060"/>
        <w:sz w:val="18"/>
        <w:szCs w:val="24"/>
      </w:rPr>
      <w:t>Lalitpur</w:t>
    </w:r>
    <w:proofErr w:type="spellEnd"/>
    <w:r w:rsidRPr="005B571F">
      <w:rPr>
        <w:rFonts w:cs="Calibri"/>
        <w:color w:val="002060"/>
        <w:sz w:val="18"/>
        <w:szCs w:val="24"/>
      </w:rPr>
      <w:t xml:space="preserve">, Nepal, </w:t>
    </w:r>
    <w:proofErr w:type="spellStart"/>
    <w:proofErr w:type="gramStart"/>
    <w:r w:rsidR="004420C7" w:rsidRPr="005B571F">
      <w:rPr>
        <w:rFonts w:cs="Calibri"/>
        <w:color w:val="002060"/>
        <w:sz w:val="18"/>
        <w:szCs w:val="24"/>
      </w:rPr>
      <w:t>P.O.Box</w:t>
    </w:r>
    <w:proofErr w:type="spellEnd"/>
    <w:r w:rsidR="004420C7" w:rsidRPr="005B571F">
      <w:rPr>
        <w:rFonts w:cs="Calibri"/>
        <w:color w:val="002060"/>
        <w:sz w:val="18"/>
        <w:szCs w:val="24"/>
      </w:rPr>
      <w:t xml:space="preserve"> :</w:t>
    </w:r>
    <w:proofErr w:type="gramEnd"/>
    <w:r w:rsidR="004420C7" w:rsidRPr="005B571F">
      <w:rPr>
        <w:rFonts w:cs="Calibri"/>
        <w:color w:val="002060"/>
        <w:sz w:val="18"/>
        <w:szCs w:val="24"/>
      </w:rPr>
      <w:t xml:space="preserve"> 12088, Kathmandu</w:t>
    </w:r>
    <w:r w:rsidR="00E86F40">
      <w:rPr>
        <w:rFonts w:cs="Calibri"/>
        <w:color w:val="002060"/>
        <w:sz w:val="18"/>
        <w:szCs w:val="24"/>
      </w:rPr>
      <w:t xml:space="preserve">.               </w:t>
    </w:r>
    <w:r w:rsidRPr="005B571F">
      <w:rPr>
        <w:rFonts w:cs="Calibri"/>
        <w:color w:val="002060"/>
        <w:sz w:val="18"/>
        <w:szCs w:val="24"/>
      </w:rPr>
      <w:t>Email:</w:t>
    </w:r>
    <w:r w:rsidR="00E86F40">
      <w:rPr>
        <w:rFonts w:cs="Calibri"/>
        <w:color w:val="002060"/>
        <w:sz w:val="18"/>
        <w:szCs w:val="24"/>
      </w:rPr>
      <w:t>sitaramjoshi9@gma</w:t>
    </w:r>
    <w:r w:rsidR="00E86F40" w:rsidRPr="005B571F">
      <w:rPr>
        <w:rFonts w:cs="Calibri"/>
        <w:color w:val="002060"/>
        <w:sz w:val="18"/>
        <w:szCs w:val="24"/>
      </w:rPr>
      <w:t>Mob: 00977-9849254784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FA" w:rsidRDefault="00074AFA" w:rsidP="002C250D">
      <w:pPr>
        <w:spacing w:after="0" w:line="240" w:lineRule="auto"/>
      </w:pPr>
      <w:r>
        <w:separator/>
      </w:r>
    </w:p>
  </w:footnote>
  <w:footnote w:type="continuationSeparator" w:id="0">
    <w:p w:rsidR="00074AFA" w:rsidRDefault="00074AFA" w:rsidP="002C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0D" w:rsidRDefault="002C250D" w:rsidP="002C250D">
    <w:pPr>
      <w:tabs>
        <w:tab w:val="left" w:pos="7820"/>
      </w:tabs>
      <w:spacing w:after="0" w:line="240" w:lineRule="auto"/>
      <w:ind w:left="851"/>
      <w:jc w:val="both"/>
    </w:pPr>
    <w:r>
      <w:rPr>
        <w:noProof/>
        <w:sz w:val="32"/>
        <w:szCs w:val="32"/>
      </w:rPr>
      <w:drawing>
        <wp:inline distT="0" distB="0" distL="0" distR="0">
          <wp:extent cx="34575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981075"/>
                  </a:xfrm>
                  <a:prstGeom prst="rect">
                    <a:avLst/>
                  </a:prstGeom>
                  <a:noFill/>
                  <a:ln>
                    <a:noFill/>
                  </a:ln>
                </pic:spPr>
              </pic:pic>
            </a:graphicData>
          </a:graphic>
        </wp:inline>
      </w:drawing>
    </w:r>
    <w:r>
      <w:tab/>
    </w:r>
    <w:r w:rsidRPr="00E26950">
      <w:object w:dxaOrig="3090"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2" o:title=""/>
        </v:shape>
        <o:OLEObject Type="Embed" ProgID="AcroExch.Document.7" ShapeID="_x0000_i1025" DrawAspect="Content" ObjectID="_1637768472" r:id="rId3"/>
      </w:object>
    </w:r>
  </w:p>
  <w:p w:rsidR="002C250D" w:rsidRPr="002D40D2" w:rsidRDefault="00BD1781" w:rsidP="002C250D">
    <w:pPr>
      <w:spacing w:after="0" w:line="240" w:lineRule="auto"/>
      <w:jc w:val="center"/>
      <w:rPr>
        <w:rFonts w:cs="Calibri"/>
        <w:b/>
        <w:i/>
        <w:iCs/>
        <w:color w:val="0070C0"/>
        <w:sz w:val="40"/>
        <w:szCs w:val="40"/>
      </w:rPr>
    </w:pPr>
    <w:r>
      <w:rPr>
        <w:rFonts w:cs="Calibri"/>
        <w:color w:val="0070C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2.5pt;height:20.55pt" fillcolor="#002060" strokecolor="#0070c0">
          <v:shadow color="#868686"/>
          <v:textpath style="font-family:&quot;Arial Black&quot;;font-size:16pt;v-text-kern:t" trim="t" fitpath="t" string="Accreditation Education Research &amp; Scientific Services Center Pvt.Ltd"/>
        </v:shape>
      </w:pict>
    </w:r>
  </w:p>
  <w:p w:rsidR="002C250D" w:rsidRPr="00362BF7" w:rsidRDefault="002C250D" w:rsidP="002C250D">
    <w:pPr>
      <w:spacing w:after="0" w:line="240" w:lineRule="auto"/>
      <w:jc w:val="center"/>
      <w:rPr>
        <w:rFonts w:cs="Calibri"/>
        <w:b/>
        <w:i/>
        <w:iCs/>
        <w:color w:val="0070C0"/>
        <w:sz w:val="14"/>
        <w:szCs w:val="18"/>
      </w:rPr>
    </w:pPr>
  </w:p>
  <w:p w:rsidR="002C250D" w:rsidRDefault="002C250D" w:rsidP="00772850">
    <w:pPr>
      <w:spacing w:after="0" w:line="240" w:lineRule="auto"/>
      <w:rPr>
        <w:rFonts w:cs="Calibri"/>
        <w:i/>
        <w:iCs/>
        <w:color w:val="002060"/>
        <w:sz w:val="20"/>
        <w:szCs w:val="24"/>
      </w:rPr>
    </w:pPr>
    <w:r w:rsidRPr="00AB3E23">
      <w:rPr>
        <w:rFonts w:cs="Calibri"/>
        <w:b/>
        <w:i/>
        <w:iCs/>
        <w:color w:val="002060"/>
        <w:sz w:val="28"/>
        <w:szCs w:val="24"/>
      </w:rPr>
      <w:t>(Associate Member of ILAC)</w:t>
    </w:r>
    <w:r w:rsidR="00772850">
      <w:rPr>
        <w:rFonts w:cs="Calibri"/>
        <w:b/>
        <w:i/>
        <w:iCs/>
        <w:color w:val="002060"/>
        <w:sz w:val="28"/>
        <w:szCs w:val="24"/>
      </w:rPr>
      <w:tab/>
    </w:r>
    <w:r w:rsidR="00772850">
      <w:rPr>
        <w:rFonts w:cs="Calibri"/>
        <w:b/>
        <w:i/>
        <w:iCs/>
        <w:color w:val="002060"/>
        <w:sz w:val="28"/>
        <w:szCs w:val="24"/>
      </w:rPr>
      <w:tab/>
    </w:r>
    <w:r w:rsidR="00772850">
      <w:rPr>
        <w:rFonts w:cs="Calibri"/>
        <w:b/>
        <w:i/>
        <w:iCs/>
        <w:color w:val="002060"/>
        <w:sz w:val="28"/>
        <w:szCs w:val="24"/>
      </w:rPr>
      <w:tab/>
    </w:r>
    <w:r w:rsidR="00772850">
      <w:rPr>
        <w:rFonts w:cs="Calibri"/>
        <w:b/>
        <w:i/>
        <w:iCs/>
        <w:color w:val="002060"/>
        <w:sz w:val="28"/>
        <w:szCs w:val="24"/>
      </w:rPr>
      <w:tab/>
    </w:r>
    <w:r w:rsidR="00772850">
      <w:rPr>
        <w:rFonts w:cs="Calibri"/>
        <w:b/>
        <w:i/>
        <w:iCs/>
        <w:color w:val="002060"/>
        <w:sz w:val="28"/>
        <w:szCs w:val="24"/>
      </w:rPr>
      <w:tab/>
    </w:r>
    <w:r w:rsidR="00772850">
      <w:rPr>
        <w:rFonts w:cs="Calibri"/>
        <w:b/>
        <w:i/>
        <w:iCs/>
        <w:color w:val="002060"/>
        <w:sz w:val="28"/>
        <w:szCs w:val="24"/>
      </w:rPr>
      <w:tab/>
    </w:r>
    <w:r w:rsidR="00772850">
      <w:rPr>
        <w:rFonts w:cs="Calibri"/>
        <w:b/>
        <w:i/>
        <w:iCs/>
        <w:color w:val="002060"/>
        <w:sz w:val="28"/>
        <w:szCs w:val="24"/>
      </w:rPr>
      <w:tab/>
      <w:t>(Full member of APLAC)</w:t>
    </w:r>
  </w:p>
  <w:p w:rsidR="00AB3E23" w:rsidRPr="00AB3E23" w:rsidRDefault="00AB3E23" w:rsidP="002C250D">
    <w:pPr>
      <w:spacing w:after="0" w:line="240" w:lineRule="auto"/>
      <w:jc w:val="center"/>
      <w:rPr>
        <w:rFonts w:cs="Calibri"/>
        <w:i/>
        <w:iCs/>
        <w:color w:val="002060"/>
        <w:sz w:val="10"/>
        <w:szCs w:val="24"/>
      </w:rPr>
    </w:pPr>
  </w:p>
  <w:p w:rsidR="002C250D" w:rsidRPr="004420C7" w:rsidRDefault="002C250D" w:rsidP="00772850">
    <w:pPr>
      <w:spacing w:after="0" w:line="240" w:lineRule="auto"/>
      <w:ind w:firstLine="720"/>
      <w:rPr>
        <w:rFonts w:cs="Calibri"/>
        <w:i/>
        <w:iCs/>
        <w:color w:val="002060"/>
        <w:sz w:val="20"/>
        <w:szCs w:val="24"/>
      </w:rPr>
    </w:pPr>
    <w:r>
      <w:rPr>
        <w:rFonts w:cs="Calibri"/>
        <w:i/>
        <w:iCs/>
        <w:color w:val="002060"/>
        <w:sz w:val="20"/>
        <w:szCs w:val="24"/>
      </w:rPr>
      <w:t>Govt. Registered No: 80896/067-68</w:t>
    </w:r>
    <w:r w:rsidR="00AB3E23">
      <w:rPr>
        <w:rFonts w:cs="Calibri"/>
        <w:i/>
        <w:iCs/>
        <w:color w:val="002060"/>
        <w:sz w:val="20"/>
        <w:szCs w:val="24"/>
      </w:rPr>
      <w:tab/>
    </w:r>
    <w:r w:rsidR="00AB3E23">
      <w:rPr>
        <w:rFonts w:cs="Calibri"/>
        <w:i/>
        <w:iCs/>
        <w:color w:val="002060"/>
        <w:sz w:val="20"/>
        <w:szCs w:val="24"/>
      </w:rPr>
      <w:tab/>
    </w:r>
    <w:r w:rsidR="00AB3E23">
      <w:rPr>
        <w:rFonts w:cs="Calibri"/>
        <w:i/>
        <w:iCs/>
        <w:color w:val="002060"/>
        <w:sz w:val="20"/>
        <w:szCs w:val="24"/>
      </w:rPr>
      <w:tab/>
    </w:r>
    <w:r w:rsidR="00AB3E23">
      <w:rPr>
        <w:rFonts w:cs="Calibri"/>
        <w:i/>
        <w:iCs/>
        <w:color w:val="002060"/>
        <w:sz w:val="20"/>
        <w:szCs w:val="24"/>
      </w:rPr>
      <w:tab/>
    </w:r>
    <w:r w:rsidR="00AB3E23">
      <w:rPr>
        <w:rFonts w:cs="Calibri"/>
        <w:i/>
        <w:iCs/>
        <w:color w:val="002060"/>
        <w:sz w:val="20"/>
        <w:szCs w:val="24"/>
      </w:rPr>
      <w:tab/>
    </w:r>
    <w:r w:rsidR="00AB3E23">
      <w:rPr>
        <w:rFonts w:cs="Calibri"/>
        <w:i/>
        <w:iCs/>
        <w:color w:val="002060"/>
        <w:sz w:val="20"/>
        <w:szCs w:val="24"/>
      </w:rPr>
      <w:tab/>
    </w:r>
    <w:r w:rsidR="00772850">
      <w:rPr>
        <w:rFonts w:cs="Calibri"/>
        <w:i/>
        <w:iCs/>
        <w:color w:val="002060"/>
        <w:sz w:val="20"/>
        <w:szCs w:val="24"/>
      </w:rPr>
      <w:tab/>
    </w:r>
    <w:r w:rsidR="00772850">
      <w:rPr>
        <w:rFonts w:cs="Calibri"/>
        <w:i/>
        <w:iCs/>
        <w:color w:val="002060"/>
        <w:sz w:val="20"/>
        <w:szCs w:val="24"/>
      </w:rPr>
      <w:tab/>
    </w:r>
    <w:r>
      <w:rPr>
        <w:rFonts w:cs="Calibri"/>
        <w:i/>
        <w:iCs/>
        <w:color w:val="002060"/>
        <w:sz w:val="20"/>
        <w:szCs w:val="24"/>
      </w:rPr>
      <w:t>Pan No</w:t>
    </w:r>
    <w:proofErr w:type="gramStart"/>
    <w:r>
      <w:rPr>
        <w:rFonts w:cs="Calibri"/>
        <w:i/>
        <w:iCs/>
        <w:color w:val="002060"/>
        <w:sz w:val="20"/>
        <w:szCs w:val="24"/>
      </w:rPr>
      <w:t>:600898090</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0D" w:rsidRDefault="002C250D" w:rsidP="002C250D">
    <w:pPr>
      <w:tabs>
        <w:tab w:val="left" w:pos="7820"/>
      </w:tabs>
      <w:spacing w:after="0" w:line="240" w:lineRule="auto"/>
      <w:ind w:left="851"/>
      <w:jc w:val="both"/>
    </w:pPr>
    <w:r>
      <w:rPr>
        <w:noProof/>
        <w:sz w:val="32"/>
        <w:szCs w:val="32"/>
      </w:rPr>
      <w:drawing>
        <wp:inline distT="0" distB="0" distL="0" distR="0">
          <wp:extent cx="34575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981075"/>
                  </a:xfrm>
                  <a:prstGeom prst="rect">
                    <a:avLst/>
                  </a:prstGeom>
                  <a:noFill/>
                  <a:ln>
                    <a:noFill/>
                  </a:ln>
                </pic:spPr>
              </pic:pic>
            </a:graphicData>
          </a:graphic>
        </wp:inline>
      </w:drawing>
    </w:r>
    <w:r>
      <w:tab/>
    </w:r>
    <w:r w:rsidRPr="00E26950">
      <w:object w:dxaOrig="3090"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64.5pt" o:ole="">
          <v:imagedata r:id="rId2" o:title=""/>
        </v:shape>
        <o:OLEObject Type="Embed" ProgID="AcroExch.Document.7" ShapeID="_x0000_i1027" DrawAspect="Content" ObjectID="_1637768473" r:id="rId3"/>
      </w:object>
    </w:r>
  </w:p>
  <w:p w:rsidR="002C250D" w:rsidRPr="002D40D2" w:rsidRDefault="00BD1781" w:rsidP="002C250D">
    <w:pPr>
      <w:spacing w:after="0" w:line="240" w:lineRule="auto"/>
      <w:jc w:val="center"/>
      <w:rPr>
        <w:rFonts w:cs="Calibri"/>
        <w:b/>
        <w:i/>
        <w:iCs/>
        <w:color w:val="0070C0"/>
        <w:sz w:val="40"/>
        <w:szCs w:val="40"/>
      </w:rPr>
    </w:pPr>
    <w:r>
      <w:rPr>
        <w:rFonts w:cs="Calibri"/>
        <w:color w:val="0070C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82.5pt;height:20.55pt" fillcolor="#002060" strokecolor="#0070c0">
          <v:shadow color="#868686"/>
          <v:textpath style="font-family:&quot;Arial Black&quot;;font-size:16pt;v-text-kern:t" trim="t" fitpath="t" string="Accreditation Education Research &amp; Scientific Services Center Pvt.Ltd"/>
        </v:shape>
      </w:pict>
    </w:r>
  </w:p>
  <w:p w:rsidR="002C250D" w:rsidRPr="00362BF7" w:rsidRDefault="002C250D" w:rsidP="002C250D">
    <w:pPr>
      <w:spacing w:after="0" w:line="240" w:lineRule="auto"/>
      <w:jc w:val="center"/>
      <w:rPr>
        <w:rFonts w:cs="Calibri"/>
        <w:b/>
        <w:i/>
        <w:iCs/>
        <w:color w:val="0070C0"/>
        <w:sz w:val="14"/>
        <w:szCs w:val="18"/>
      </w:rPr>
    </w:pPr>
  </w:p>
  <w:p w:rsidR="002C250D" w:rsidRDefault="002C250D" w:rsidP="002C250D">
    <w:pPr>
      <w:spacing w:after="0" w:line="240" w:lineRule="auto"/>
      <w:jc w:val="center"/>
      <w:rPr>
        <w:rFonts w:cs="Calibri"/>
        <w:i/>
        <w:iCs/>
        <w:color w:val="002060"/>
        <w:sz w:val="20"/>
        <w:szCs w:val="24"/>
      </w:rPr>
    </w:pPr>
    <w:r>
      <w:rPr>
        <w:rFonts w:cs="Calibri"/>
        <w:b/>
        <w:i/>
        <w:iCs/>
        <w:color w:val="002060"/>
        <w:sz w:val="20"/>
        <w:szCs w:val="24"/>
      </w:rPr>
      <w:t>(Associate</w:t>
    </w:r>
    <w:r w:rsidRPr="008B4834">
      <w:rPr>
        <w:rFonts w:cs="Calibri"/>
        <w:b/>
        <w:i/>
        <w:iCs/>
        <w:color w:val="002060"/>
        <w:sz w:val="20"/>
        <w:szCs w:val="24"/>
      </w:rPr>
      <w:t xml:space="preserve"> Member of ILAC)</w:t>
    </w:r>
  </w:p>
  <w:p w:rsidR="002C250D" w:rsidRDefault="002C250D" w:rsidP="002C250D">
    <w:pPr>
      <w:spacing w:after="0" w:line="240" w:lineRule="auto"/>
      <w:jc w:val="center"/>
      <w:rPr>
        <w:rFonts w:cs="Calibri"/>
        <w:i/>
        <w:iCs/>
        <w:color w:val="002060"/>
        <w:sz w:val="20"/>
        <w:szCs w:val="24"/>
      </w:rPr>
    </w:pPr>
    <w:r>
      <w:rPr>
        <w:rFonts w:cs="Calibri"/>
        <w:i/>
        <w:iCs/>
        <w:color w:val="002060"/>
        <w:sz w:val="20"/>
        <w:szCs w:val="24"/>
      </w:rPr>
      <w:t>Govt. Registered No: 80896/067-68</w:t>
    </w:r>
  </w:p>
  <w:p w:rsidR="002C250D" w:rsidRPr="00D62547" w:rsidRDefault="002C250D" w:rsidP="002C250D">
    <w:pPr>
      <w:spacing w:after="0" w:line="240" w:lineRule="auto"/>
      <w:jc w:val="center"/>
      <w:rPr>
        <w:rFonts w:cs="Calibri"/>
        <w:i/>
        <w:iCs/>
        <w:color w:val="002060"/>
        <w:sz w:val="20"/>
        <w:szCs w:val="24"/>
      </w:rPr>
    </w:pPr>
    <w:r>
      <w:rPr>
        <w:rFonts w:cs="Calibri"/>
        <w:i/>
        <w:iCs/>
        <w:color w:val="002060"/>
        <w:sz w:val="20"/>
        <w:szCs w:val="24"/>
      </w:rPr>
      <w:t>Pan No</w:t>
    </w:r>
    <w:proofErr w:type="gramStart"/>
    <w:r>
      <w:rPr>
        <w:rFonts w:cs="Calibri"/>
        <w:i/>
        <w:iCs/>
        <w:color w:val="002060"/>
        <w:sz w:val="20"/>
        <w:szCs w:val="24"/>
      </w:rPr>
      <w:t>:600898090</w:t>
    </w:r>
    <w:proofErr w:type="gramEnd"/>
  </w:p>
  <w:p w:rsidR="002C250D" w:rsidRDefault="002C250D" w:rsidP="002C250D">
    <w:pPr>
      <w:spacing w:after="0" w:line="240" w:lineRule="auto"/>
      <w:jc w:val="right"/>
      <w:rPr>
        <w:rFonts w:cs="Calibri"/>
        <w:color w:val="002060"/>
        <w:szCs w:val="24"/>
      </w:rPr>
    </w:pPr>
    <w:r w:rsidRPr="008B4834">
      <w:rPr>
        <w:rFonts w:cs="Calibri"/>
        <w:color w:val="002060"/>
        <w:szCs w:val="24"/>
      </w:rPr>
      <w:t>Email:</w:t>
    </w:r>
    <w:r>
      <w:rPr>
        <w:rFonts w:cs="Calibri"/>
        <w:color w:val="002060"/>
        <w:szCs w:val="24"/>
      </w:rPr>
      <w:t>sitaramjoshi9@gmail.com</w:t>
    </w:r>
  </w:p>
  <w:p w:rsidR="002C250D" w:rsidRDefault="002C250D" w:rsidP="002C250D">
    <w:pPr>
      <w:spacing w:after="0" w:line="240" w:lineRule="auto"/>
      <w:jc w:val="right"/>
      <w:rPr>
        <w:rFonts w:cs="Calibri"/>
        <w:color w:val="002060"/>
        <w:szCs w:val="24"/>
      </w:rPr>
    </w:pPr>
    <w:proofErr w:type="spellStart"/>
    <w:proofErr w:type="gramStart"/>
    <w:r>
      <w:rPr>
        <w:rFonts w:cs="Calibri"/>
        <w:color w:val="002060"/>
        <w:szCs w:val="24"/>
      </w:rPr>
      <w:t>P.O.B</w:t>
    </w:r>
    <w:r w:rsidRPr="008B4834">
      <w:rPr>
        <w:rFonts w:cs="Calibri"/>
        <w:color w:val="002060"/>
        <w:szCs w:val="24"/>
      </w:rPr>
      <w:t>ox</w:t>
    </w:r>
    <w:proofErr w:type="spellEnd"/>
    <w:r w:rsidRPr="008B4834">
      <w:rPr>
        <w:rFonts w:cs="Calibri"/>
        <w:color w:val="002060"/>
        <w:szCs w:val="24"/>
      </w:rPr>
      <w:t xml:space="preserve"> :</w:t>
    </w:r>
    <w:proofErr w:type="gramEnd"/>
    <w:r w:rsidRPr="008B4834">
      <w:rPr>
        <w:rFonts w:cs="Calibri"/>
        <w:color w:val="002060"/>
        <w:szCs w:val="24"/>
      </w:rPr>
      <w:t xml:space="preserve"> 12088, Kathmandu</w:t>
    </w:r>
  </w:p>
  <w:p w:rsidR="002C250D" w:rsidRDefault="002C2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916A2"/>
    <w:multiLevelType w:val="hybridMultilevel"/>
    <w:tmpl w:val="13528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5E71CF"/>
    <w:multiLevelType w:val="hybridMultilevel"/>
    <w:tmpl w:val="9F1E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FB3F1C"/>
    <w:multiLevelType w:val="hybridMultilevel"/>
    <w:tmpl w:val="A4AE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CA0E4A"/>
    <w:multiLevelType w:val="hybridMultilevel"/>
    <w:tmpl w:val="CF02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D54A6D"/>
    <w:multiLevelType w:val="hybridMultilevel"/>
    <w:tmpl w:val="E4DA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0D"/>
    <w:rsid w:val="00067BAB"/>
    <w:rsid w:val="00074AFA"/>
    <w:rsid w:val="001F517B"/>
    <w:rsid w:val="00211090"/>
    <w:rsid w:val="00286940"/>
    <w:rsid w:val="002A4328"/>
    <w:rsid w:val="002C250D"/>
    <w:rsid w:val="00343BDE"/>
    <w:rsid w:val="004139DE"/>
    <w:rsid w:val="004420C7"/>
    <w:rsid w:val="004F7B29"/>
    <w:rsid w:val="00513C06"/>
    <w:rsid w:val="005B571F"/>
    <w:rsid w:val="005B6DF0"/>
    <w:rsid w:val="005C0C0D"/>
    <w:rsid w:val="00661192"/>
    <w:rsid w:val="00772850"/>
    <w:rsid w:val="00915D42"/>
    <w:rsid w:val="009C0760"/>
    <w:rsid w:val="009C6221"/>
    <w:rsid w:val="00A23BBF"/>
    <w:rsid w:val="00AB3E23"/>
    <w:rsid w:val="00BC3BF8"/>
    <w:rsid w:val="00BD1781"/>
    <w:rsid w:val="00C71110"/>
    <w:rsid w:val="00C97372"/>
    <w:rsid w:val="00C97BB2"/>
    <w:rsid w:val="00CD22B9"/>
    <w:rsid w:val="00D51C28"/>
    <w:rsid w:val="00D76B8C"/>
    <w:rsid w:val="00E86F40"/>
    <w:rsid w:val="00F17338"/>
    <w:rsid w:val="00FD4AB7"/>
    <w:rsid w:val="00FD799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0D"/>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0D"/>
    <w:rPr>
      <w:rFonts w:ascii="Tahoma" w:eastAsia="Calibri" w:hAnsi="Tahoma" w:cs="Tahoma"/>
      <w:sz w:val="16"/>
      <w:szCs w:val="16"/>
    </w:rPr>
  </w:style>
  <w:style w:type="paragraph" w:styleId="Header">
    <w:name w:val="header"/>
    <w:basedOn w:val="Normal"/>
    <w:link w:val="HeaderChar"/>
    <w:uiPriority w:val="99"/>
    <w:unhideWhenUsed/>
    <w:rsid w:val="002C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0D"/>
    <w:rPr>
      <w:rFonts w:ascii="Calibri" w:eastAsia="Calibri" w:hAnsi="Calibri" w:cs="Cordia New"/>
    </w:rPr>
  </w:style>
  <w:style w:type="paragraph" w:styleId="Footer">
    <w:name w:val="footer"/>
    <w:basedOn w:val="Normal"/>
    <w:link w:val="FooterChar"/>
    <w:uiPriority w:val="99"/>
    <w:unhideWhenUsed/>
    <w:rsid w:val="002C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0D"/>
    <w:rPr>
      <w:rFonts w:ascii="Calibri" w:eastAsia="Calibri" w:hAnsi="Calibri" w:cs="Cordia New"/>
    </w:rPr>
  </w:style>
  <w:style w:type="character" w:styleId="Hyperlink">
    <w:name w:val="Hyperlink"/>
    <w:basedOn w:val="DefaultParagraphFont"/>
    <w:uiPriority w:val="99"/>
    <w:unhideWhenUsed/>
    <w:rsid w:val="005B6DF0"/>
    <w:rPr>
      <w:color w:val="0000FF" w:themeColor="hyperlink"/>
      <w:u w:val="single"/>
    </w:rPr>
  </w:style>
  <w:style w:type="paragraph" w:styleId="ListParagraph">
    <w:name w:val="List Paragraph"/>
    <w:basedOn w:val="Normal"/>
    <w:uiPriority w:val="34"/>
    <w:qFormat/>
    <w:rsid w:val="005B6DF0"/>
    <w:pPr>
      <w:ind w:left="72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0D"/>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0D"/>
    <w:rPr>
      <w:rFonts w:ascii="Tahoma" w:eastAsia="Calibri" w:hAnsi="Tahoma" w:cs="Tahoma"/>
      <w:sz w:val="16"/>
      <w:szCs w:val="16"/>
    </w:rPr>
  </w:style>
  <w:style w:type="paragraph" w:styleId="Header">
    <w:name w:val="header"/>
    <w:basedOn w:val="Normal"/>
    <w:link w:val="HeaderChar"/>
    <w:uiPriority w:val="99"/>
    <w:unhideWhenUsed/>
    <w:rsid w:val="002C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0D"/>
    <w:rPr>
      <w:rFonts w:ascii="Calibri" w:eastAsia="Calibri" w:hAnsi="Calibri" w:cs="Cordia New"/>
    </w:rPr>
  </w:style>
  <w:style w:type="paragraph" w:styleId="Footer">
    <w:name w:val="footer"/>
    <w:basedOn w:val="Normal"/>
    <w:link w:val="FooterChar"/>
    <w:uiPriority w:val="99"/>
    <w:unhideWhenUsed/>
    <w:rsid w:val="002C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0D"/>
    <w:rPr>
      <w:rFonts w:ascii="Calibri" w:eastAsia="Calibri" w:hAnsi="Calibri" w:cs="Cordia New"/>
    </w:rPr>
  </w:style>
  <w:style w:type="character" w:styleId="Hyperlink">
    <w:name w:val="Hyperlink"/>
    <w:basedOn w:val="DefaultParagraphFont"/>
    <w:uiPriority w:val="99"/>
    <w:unhideWhenUsed/>
    <w:rsid w:val="005B6DF0"/>
    <w:rPr>
      <w:color w:val="0000FF" w:themeColor="hyperlink"/>
      <w:u w:val="single"/>
    </w:rPr>
  </w:style>
  <w:style w:type="paragraph" w:styleId="ListParagraph">
    <w:name w:val="List Paragraph"/>
    <w:basedOn w:val="Normal"/>
    <w:uiPriority w:val="34"/>
    <w:qFormat/>
    <w:rsid w:val="005B6DF0"/>
    <w:pPr>
      <w:ind w:left="7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ramjoshi9@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NAST-ADB</dc:creator>
  <cp:lastModifiedBy>dell</cp:lastModifiedBy>
  <cp:revision>2</cp:revision>
  <cp:lastPrinted>2017-02-05T02:11:00Z</cp:lastPrinted>
  <dcterms:created xsi:type="dcterms:W3CDTF">2019-12-13T13:10:00Z</dcterms:created>
  <dcterms:modified xsi:type="dcterms:W3CDTF">2019-12-13T13:10:00Z</dcterms:modified>
</cp:coreProperties>
</file>